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971721">
      <w:pPr>
        <w:adjustRightInd w:val="0"/>
        <w:snapToGrid w:val="0"/>
        <w:rPr>
          <w:rFonts w:hint="eastAsia" w:eastAsia="方正黑体_GBK"/>
          <w:color w:val="auto"/>
          <w:sz w:val="28"/>
          <w:szCs w:val="28"/>
          <w:highlight w:val="none"/>
          <w:lang w:eastAsia="zh-CN"/>
        </w:rPr>
      </w:pPr>
      <w:r>
        <w:rPr>
          <w:rFonts w:hint="default" w:eastAsia="方正黑体_GBK"/>
          <w:color w:val="auto"/>
          <w:sz w:val="28"/>
          <w:szCs w:val="28"/>
          <w:highlight w:val="none"/>
        </w:rPr>
        <w:t>附件</w:t>
      </w:r>
      <w:r>
        <w:rPr>
          <w:rFonts w:hint="eastAsia" w:eastAsia="方正黑体_GBK"/>
          <w:color w:val="auto"/>
          <w:sz w:val="28"/>
          <w:szCs w:val="28"/>
          <w:highlight w:val="none"/>
          <w:lang w:val="en-US" w:eastAsia="zh-CN"/>
        </w:rPr>
        <w:t>4</w:t>
      </w:r>
    </w:p>
    <w:p w14:paraId="689F24EA">
      <w:pPr>
        <w:adjustRightInd w:val="0"/>
        <w:snapToGrid w:val="0"/>
        <w:rPr>
          <w:rFonts w:hint="default" w:eastAsia="方正黑体_GBK"/>
          <w:color w:val="auto"/>
          <w:sz w:val="28"/>
          <w:szCs w:val="28"/>
          <w:highlight w:val="none"/>
        </w:rPr>
      </w:pPr>
    </w:p>
    <w:p w14:paraId="4438597D">
      <w:pPr>
        <w:adjustRightInd w:val="0"/>
        <w:snapToGrid w:val="0"/>
        <w:jc w:val="center"/>
        <w:rPr>
          <w:rFonts w:eastAsia="方正小标宋_GBK"/>
          <w:color w:val="auto"/>
          <w:kern w:val="0"/>
          <w:sz w:val="44"/>
          <w:szCs w:val="44"/>
          <w:highlight w:val="none"/>
        </w:rPr>
      </w:pPr>
      <w:r>
        <w:rPr>
          <w:rFonts w:eastAsia="方正小标宋_GBK"/>
          <w:color w:val="auto"/>
          <w:kern w:val="0"/>
          <w:sz w:val="44"/>
          <w:szCs w:val="44"/>
          <w:highlight w:val="none"/>
        </w:rPr>
        <w:t>专业参考目录</w:t>
      </w:r>
    </w:p>
    <w:p w14:paraId="415BA65B">
      <w:pPr>
        <w:adjustRightInd w:val="0"/>
        <w:snapToGrid w:val="0"/>
        <w:jc w:val="center"/>
        <w:rPr>
          <w:rFonts w:hint="default" w:eastAsia="方正小标宋_GBK"/>
          <w:color w:val="auto"/>
          <w:kern w:val="0"/>
          <w:sz w:val="44"/>
          <w:szCs w:val="44"/>
          <w:highlight w:val="none"/>
        </w:rPr>
      </w:pPr>
    </w:p>
    <w:tbl>
      <w:tblPr>
        <w:tblStyle w:val="4"/>
        <w:tblW w:w="868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4"/>
        <w:gridCol w:w="6945"/>
      </w:tblGrid>
      <w:tr w14:paraId="1498F8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2" w:hRule="atLeast"/>
          <w:jc w:val="center"/>
        </w:trPr>
        <w:tc>
          <w:tcPr>
            <w:tcW w:w="1744" w:type="dxa"/>
            <w:noWrap w:val="0"/>
            <w:vAlign w:val="center"/>
          </w:tcPr>
          <w:p w14:paraId="31EF9589">
            <w:pPr>
              <w:jc w:val="center"/>
              <w:rPr>
                <w:rFonts w:hint="eastAsia" w:ascii="Times New Roman" w:hAnsi="Times New Roman" w:eastAsia="黑体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黑体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专业类别</w:t>
            </w:r>
          </w:p>
        </w:tc>
        <w:tc>
          <w:tcPr>
            <w:tcW w:w="6945" w:type="dxa"/>
            <w:noWrap w:val="0"/>
            <w:vAlign w:val="center"/>
          </w:tcPr>
          <w:p w14:paraId="2F7A5CA5">
            <w:pPr>
              <w:jc w:val="center"/>
              <w:rPr>
                <w:rFonts w:hint="default" w:ascii="Times New Roman" w:hAnsi="Times New Roman" w:eastAsia="黑体"/>
                <w:b w:val="0"/>
                <w:bCs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eastAsia="黑体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可报考专业</w:t>
            </w:r>
          </w:p>
        </w:tc>
      </w:tr>
      <w:tr w14:paraId="05BDC8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9" w:hRule="atLeast"/>
          <w:jc w:val="center"/>
        </w:trPr>
        <w:tc>
          <w:tcPr>
            <w:tcW w:w="1744" w:type="dxa"/>
            <w:noWrap w:val="0"/>
            <w:vAlign w:val="center"/>
          </w:tcPr>
          <w:p w14:paraId="681C2B3D">
            <w:pPr>
              <w:jc w:val="center"/>
              <w:rPr>
                <w:rFonts w:ascii="Times New Roman" w:hAnsi="Times New Roman" w:eastAsia="黑体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黑体"/>
                <w:b w:val="0"/>
                <w:bCs/>
                <w:color w:val="auto"/>
                <w:sz w:val="24"/>
                <w:szCs w:val="24"/>
                <w:highlight w:val="none"/>
              </w:rPr>
              <w:t>财务</w:t>
            </w:r>
            <w:r>
              <w:rPr>
                <w:rFonts w:hint="eastAsia" w:ascii="Times New Roman" w:hAnsi="Times New Roman" w:eastAsia="黑体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审计</w:t>
            </w:r>
            <w:r>
              <w:rPr>
                <w:rFonts w:ascii="Times New Roman" w:hAnsi="Times New Roman" w:eastAsia="黑体"/>
                <w:b w:val="0"/>
                <w:bCs/>
                <w:color w:val="auto"/>
                <w:sz w:val="24"/>
                <w:szCs w:val="24"/>
                <w:highlight w:val="none"/>
              </w:rPr>
              <w:t>类</w:t>
            </w:r>
          </w:p>
        </w:tc>
        <w:tc>
          <w:tcPr>
            <w:tcW w:w="6945" w:type="dxa"/>
            <w:noWrap w:val="0"/>
            <w:vAlign w:val="center"/>
          </w:tcPr>
          <w:p w14:paraId="34D2A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宋体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b w:val="0"/>
                <w:bCs/>
                <w:color w:val="auto"/>
                <w:sz w:val="24"/>
                <w:szCs w:val="24"/>
                <w:highlight w:val="none"/>
              </w:rPr>
              <w:t>会计学，会计，会计硕士，会计与金融，会计信息技术，财务会计与审计，</w:t>
            </w:r>
            <w:r>
              <w:rPr>
                <w:rFonts w:hint="eastAsia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财务会计，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sz w:val="24"/>
                <w:szCs w:val="24"/>
                <w:highlight w:val="none"/>
              </w:rPr>
              <w:t>财务会计教育，国际会计，法务会计，大数据与会计，审计，审计学，工程审计</w:t>
            </w:r>
            <w:r>
              <w:rPr>
                <w:rFonts w:hint="eastAsia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sz w:val="24"/>
                <w:szCs w:val="24"/>
                <w:highlight w:val="none"/>
              </w:rPr>
              <w:t>大数据与审计，金融，金融学，金融硕士，金融工程，互联网金融，金融科技应用，金融数学，金融科技，计算金融，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sz w:val="24"/>
                <w:szCs w:val="24"/>
                <w:highlight w:val="none"/>
                <w:lang w:eastAsia="zh"/>
              </w:rPr>
              <w:t>金融审计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sz w:val="24"/>
                <w:szCs w:val="24"/>
                <w:highlight w:val="none"/>
              </w:rPr>
              <w:t>，财政学（含税收学），税务，国际税收，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sz w:val="24"/>
                <w:szCs w:val="24"/>
                <w:highlight w:val="none"/>
                <w:lang w:eastAsia="zh"/>
              </w:rPr>
              <w:t>财税</w:t>
            </w:r>
            <w:r>
              <w:rPr>
                <w:rFonts w:hint="eastAsia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sz w:val="24"/>
                <w:szCs w:val="24"/>
                <w:highlight w:val="none"/>
              </w:rPr>
              <w:t>资产评估，财务管理，大数据与财务管理，经济学，应用经济学，技术经济及管理，国际经济与贸易，经济与金融，贸易经济，经济统计学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 w14:paraId="7E2D93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9" w:hRule="atLeast"/>
          <w:jc w:val="center"/>
        </w:trPr>
        <w:tc>
          <w:tcPr>
            <w:tcW w:w="1744" w:type="dxa"/>
            <w:noWrap w:val="0"/>
            <w:vAlign w:val="center"/>
          </w:tcPr>
          <w:p w14:paraId="0CED5EB5">
            <w:pPr>
              <w:jc w:val="center"/>
              <w:rPr>
                <w:rFonts w:hint="default" w:ascii="Times New Roman" w:hAnsi="Times New Roman" w:eastAsia="黑体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黑体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文字文秘类</w:t>
            </w:r>
          </w:p>
        </w:tc>
        <w:tc>
          <w:tcPr>
            <w:tcW w:w="6945" w:type="dxa"/>
            <w:noWrap w:val="0"/>
            <w:vAlign w:val="center"/>
          </w:tcPr>
          <w:p w14:paraId="0ED9C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宋体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b w:val="0"/>
                <w:bCs/>
                <w:color w:val="auto"/>
                <w:sz w:val="24"/>
                <w:szCs w:val="24"/>
                <w:highlight w:val="none"/>
              </w:rPr>
              <w:t>汉语言，汉语言文学，汉语言文字学，汉语言文学教育，语言学</w:t>
            </w:r>
            <w:r>
              <w:rPr>
                <w:rFonts w:hint="eastAsia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sz w:val="24"/>
                <w:szCs w:val="24"/>
                <w:highlight w:val="none"/>
              </w:rPr>
              <w:t>应用语言学，古典文献学，中国古代文学，中国语言文学，中国语言与文化</w:t>
            </w:r>
            <w:r>
              <w:rPr>
                <w:rFonts w:hint="eastAsia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sz w:val="24"/>
                <w:szCs w:val="24"/>
                <w:highlight w:val="none"/>
              </w:rPr>
              <w:t>中国现当代文学，比较文学与世界文学，文艺学，古典文献，中国文学与文化，秘书学，高级文秘，文秘教育，新闻学，新闻与传播，新闻传播学，网络与新媒体，新媒体与信息网络，国际新闻与传播，传播学，广播电视新闻，广播电视新闻学，广播电视学，广播电视，广播电视编导，出版，编辑出版学，数字出版，思想政治教育，党务工作，中共党史，中共党史党建学</w:t>
            </w:r>
            <w:r>
              <w:rPr>
                <w:rFonts w:hint="eastAsia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  <w:bookmarkStart w:id="0" w:name="_GoBack"/>
            <w:bookmarkEnd w:id="0"/>
          </w:p>
        </w:tc>
      </w:tr>
    </w:tbl>
    <w:p w14:paraId="676003BA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35729E"/>
    <w:rsid w:val="0935729E"/>
    <w:rsid w:val="15BD1CB8"/>
    <w:rsid w:val="3CAA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hint="default"/>
      <w:sz w:val="18"/>
      <w:szCs w:val="18"/>
    </w:rPr>
  </w:style>
  <w:style w:type="paragraph" w:styleId="3">
    <w:name w:val="header"/>
    <w:basedOn w:val="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2026-09-08T10:24:00Z</dcterms:created>
  <dc:creator>Administrator</dc:creator>
  <cp:lastModifiedBy>Administrator</cp:lastModifiedBy>
  <dcterms:modified xsi:type="dcterms:W3CDTF">2026-09-08T10:27:37Z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10688361E59246E18966F9DD3AB76207_11</vt:lpwstr>
  </property>
  <property fmtid="{D5CDD505-2E9C-101B-9397-08002B2CF9AE}" pid="4" name="KSOTemplateDocerSaveRecord">
    <vt:lpwstr>eyJoZGlkIjoiOGI0ZTNiZWFmZThjZWZkODg0MWZhMTY4NWNmNDg5N2QiLCJ1c2VySWQiOiIxMTY5NzcxNjYxIn0=</vt:lpwstr>
  </property>
</Properties>
</file>